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691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spacing w:val="2"/>
          <w:w w:val="95"/>
          <w:sz w:val="44"/>
        </w:rPr>
        <w:t>2020</w:t>
      </w:r>
      <w:r>
        <w:rPr>
          <w:rFonts w:ascii="Times New Roman" w:eastAsia="Times New Roman"/>
          <w:spacing w:val="-63"/>
          <w:w w:val="95"/>
          <w:sz w:val="44"/>
        </w:rPr>
        <w:t> </w:t>
      </w:r>
      <w:r>
        <w:rPr>
          <w:rFonts w:ascii="方正大标宋简体" w:eastAsia="方正大标宋简体" w:hint="eastAsia"/>
          <w:spacing w:val="6"/>
          <w:w w:val="95"/>
          <w:sz w:val="44"/>
        </w:rPr>
        <w:t>年普通专升本《经济学基础》考试大纲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276" w:firstLine="638"/>
        <w:jc w:val="both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4"/>
          <w:w w:val="95"/>
        </w:rPr>
        <w:t>本考试的目的是选拔部分高职高专毕业生进入本校国际经 济与贸易专业本科阶段学习。考试标准以普通高等学校的教学 要求为参照，侧重对基本概念、基本原理及相关应用方法进行 考核，了解学生是否具有升学所必备的经济学专业基础和分析 </w:t>
      </w:r>
      <w:r>
        <w:rPr>
          <w:rFonts w:ascii="仿宋_GB2312" w:eastAsia="仿宋_GB2312" w:hint="eastAsia"/>
        </w:rPr>
        <w:t>问题、解决问题的水平能力。</w:t>
      </w:r>
    </w:p>
    <w:p>
      <w:pPr>
        <w:pStyle w:val="BodyText"/>
        <w:spacing w:line="404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</w:t>
      </w:r>
    </w:p>
    <w:p>
      <w:pPr>
        <w:pStyle w:val="BodyText"/>
        <w:spacing w:line="316" w:lineRule="auto"/>
        <w:ind w:right="6186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-3"/>
        </w:rPr>
        <w:t>《经济学基础》</w:t>
      </w:r>
      <w:r>
        <w:rPr>
          <w:rFonts w:ascii="黑体" w:eastAsia="黑体" w:hint="eastAsia"/>
        </w:rPr>
        <w:t>二、考试方法 </w:t>
      </w:r>
      <w:r>
        <w:rPr>
          <w:rFonts w:ascii="仿宋_GB2312" w:eastAsia="仿宋_GB2312" w:hint="eastAsia"/>
        </w:rPr>
        <w:t>笔试、闭卷</w:t>
      </w:r>
    </w:p>
    <w:p>
      <w:pPr>
        <w:pStyle w:val="BodyText"/>
        <w:spacing w:line="406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Times New Roman" w:eastAsia="Times New Roman"/>
        </w:rPr>
        <w:t>90 </w:t>
      </w:r>
      <w:r>
        <w:rPr>
          <w:rFonts w:ascii="仿宋_GB2312" w:eastAsia="仿宋_GB2312" w:hint="eastAsia"/>
        </w:rPr>
        <w:t>分钟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总分 </w:t>
      </w:r>
      <w:r>
        <w:rPr>
          <w:rFonts w:ascii="Times New Roman" w:eastAsia="Times New Roman"/>
        </w:rPr>
        <w:t>100 </w:t>
      </w:r>
      <w:r>
        <w:rPr>
          <w:rFonts w:ascii="仿宋_GB2312" w:eastAsia="仿宋_GB2312" w:hint="eastAsia"/>
        </w:rPr>
        <w:t>分，题型分布如下：</w:t>
      </w:r>
    </w:p>
    <w:p>
      <w:pPr>
        <w:pStyle w:val="BodyText"/>
      </w:pPr>
      <w:r>
        <w:rPr/>
        <w:t>（一）名词解释（</w:t>
      </w:r>
      <w:r>
        <w:rPr>
          <w:rFonts w:ascii="Times New Roman" w:eastAsia="Times New Roman"/>
        </w:rPr>
        <w:t>15 </w:t>
      </w:r>
      <w:r>
        <w:rPr/>
        <w:t>分，共 </w:t>
      </w:r>
      <w:r>
        <w:rPr>
          <w:rFonts w:ascii="Times New Roman" w:eastAsia="Times New Roman"/>
        </w:rPr>
        <w:t>5 </w:t>
      </w:r>
      <w:r>
        <w:rPr/>
        <w:t>小题，每小题 </w:t>
      </w:r>
      <w:r>
        <w:rPr>
          <w:rFonts w:ascii="Times New Roman" w:eastAsia="Times New Roman"/>
        </w:rPr>
        <w:t>3 </w:t>
      </w:r>
      <w:r>
        <w:rPr/>
        <w:t>分）</w:t>
      </w:r>
    </w:p>
    <w:p>
      <w:pPr>
        <w:pStyle w:val="BodyText"/>
      </w:pPr>
      <w:r>
        <w:rPr/>
        <w:t>（二）判断题（</w:t>
      </w:r>
      <w:r>
        <w:rPr>
          <w:rFonts w:ascii="Times New Roman" w:eastAsia="Times New Roman"/>
        </w:rPr>
        <w:t>20 </w:t>
      </w:r>
      <w:r>
        <w:rPr/>
        <w:t>分，共 </w:t>
      </w:r>
      <w:r>
        <w:rPr>
          <w:rFonts w:ascii="Times New Roman" w:eastAsia="Times New Roman"/>
        </w:rPr>
        <w:t>20 </w:t>
      </w:r>
      <w:r>
        <w:rPr/>
        <w:t>小题，每小题 </w:t>
      </w:r>
      <w:r>
        <w:rPr>
          <w:rFonts w:ascii="Times New Roman" w:eastAsia="Times New Roman"/>
        </w:rPr>
        <w:t>1 </w:t>
      </w:r>
      <w:r>
        <w:rPr/>
        <w:t>分）</w:t>
      </w:r>
    </w:p>
    <w:p>
      <w:pPr>
        <w:pStyle w:val="BodyText"/>
      </w:pPr>
      <w:r>
        <w:rPr/>
        <w:t>（三）单项选择（</w:t>
      </w:r>
      <w:r>
        <w:rPr>
          <w:rFonts w:ascii="Times New Roman" w:eastAsia="Times New Roman"/>
        </w:rPr>
        <w:t>20 </w:t>
      </w:r>
      <w:r>
        <w:rPr/>
        <w:t>分，共 </w:t>
      </w:r>
      <w:r>
        <w:rPr>
          <w:rFonts w:ascii="Times New Roman" w:eastAsia="Times New Roman"/>
        </w:rPr>
        <w:t>20 </w:t>
      </w:r>
      <w:r>
        <w:rPr/>
        <w:t>小题，每小题 </w:t>
      </w:r>
      <w:r>
        <w:rPr>
          <w:rFonts w:ascii="Times New Roman" w:eastAsia="Times New Roman"/>
        </w:rPr>
        <w:t>1 </w:t>
      </w:r>
      <w:r>
        <w:rPr/>
        <w:t>分）</w:t>
      </w:r>
    </w:p>
    <w:p>
      <w:pPr>
        <w:pStyle w:val="BodyText"/>
        <w:spacing w:line="316" w:lineRule="auto"/>
        <w:ind w:left="101" w:right="343" w:firstLine="638"/>
      </w:pPr>
      <w:r>
        <w:rPr/>
        <w:t>（四）简答题（</w:t>
      </w:r>
      <w:r>
        <w:rPr>
          <w:rFonts w:ascii="Times New Roman" w:eastAsia="Times New Roman"/>
        </w:rPr>
        <w:t>35 </w:t>
      </w:r>
      <w:r>
        <w:rPr>
          <w:spacing w:val="-21"/>
        </w:rPr>
        <w:t>分，共 </w:t>
      </w:r>
      <w:r>
        <w:rPr>
          <w:rFonts w:ascii="Times New Roman" w:eastAsia="Times New Roman"/>
        </w:rPr>
        <w:t>5 </w:t>
      </w:r>
      <w:r>
        <w:rPr>
          <w:spacing w:val="-12"/>
        </w:rPr>
        <w:t>小题，每小题 </w:t>
      </w:r>
      <w:r>
        <w:rPr>
          <w:rFonts w:ascii="Times New Roman" w:eastAsia="Times New Roman"/>
        </w:rPr>
        <w:t>7 </w:t>
      </w:r>
      <w:r>
        <w:rPr/>
        <w:t>分，要求给出答题要点，不需要展开分析）</w:t>
      </w:r>
    </w:p>
    <w:p>
      <w:pPr>
        <w:pStyle w:val="BodyText"/>
        <w:spacing w:line="408" w:lineRule="exact" w:before="0"/>
      </w:pPr>
      <w:r>
        <w:rPr/>
        <w:t>（五）案例分析题（</w:t>
      </w:r>
      <w:r>
        <w:rPr>
          <w:rFonts w:ascii="Times New Roman" w:eastAsia="Times New Roman"/>
        </w:rPr>
        <w:t>10 </w:t>
      </w:r>
      <w:r>
        <w:rPr/>
        <w:t>分，共 </w:t>
      </w:r>
      <w:r>
        <w:rPr>
          <w:rFonts w:ascii="Times New Roman" w:eastAsia="Times New Roman"/>
        </w:rPr>
        <w:t>1 </w:t>
      </w:r>
      <w:r>
        <w:rPr/>
        <w:t>小题）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五、考试内容与要求</w:t>
      </w:r>
    </w:p>
    <w:p>
      <w:pPr>
        <w:pStyle w:val="Heading1"/>
        <w:tabs>
          <w:tab w:pos="2023" w:val="left" w:leader="none"/>
        </w:tabs>
        <w:spacing w:before="130"/>
      </w:pPr>
      <w:bookmarkStart w:name="第二章  供求分析概述" w:id="1"/>
      <w:bookmarkEnd w:id="1"/>
      <w:r>
        <w:rPr>
          <w:b w:val="0"/>
        </w:rPr>
      </w:r>
      <w:r>
        <w:rPr/>
        <w:t>第二章</w:t>
        <w:tab/>
        <w:t>供求分析概述</w:t>
      </w:r>
    </w:p>
    <w:p>
      <w:pPr>
        <w:pStyle w:val="BodyText"/>
        <w:spacing w:line="316" w:lineRule="auto"/>
        <w:ind w:left="101" w:right="276" w:firstLine="638"/>
      </w:pPr>
      <w:r>
        <w:rPr>
          <w:spacing w:val="7"/>
          <w:w w:val="95"/>
        </w:rPr>
        <w:t>（一）</w:t>
      </w:r>
      <w:r>
        <w:rPr>
          <w:spacing w:val="4"/>
          <w:w w:val="95"/>
        </w:rPr>
        <w:t>掌握：简单经济系统的构成；需求；供给；市场均 </w:t>
      </w:r>
      <w:r>
        <w:rPr>
          <w:spacing w:val="4"/>
        </w:rPr>
        <w:t>衡；弹性。</w:t>
      </w:r>
    </w:p>
    <w:p>
      <w:pPr>
        <w:spacing w:after="0" w:line="316" w:lineRule="auto"/>
        <w:sectPr>
          <w:type w:val="continuous"/>
          <w:pgSz w:w="11910" w:h="16840"/>
          <w:pgMar w:top="1460" w:bottom="280" w:left="1600" w:right="1140"/>
        </w:sectPr>
      </w:pPr>
    </w:p>
    <w:p>
      <w:pPr>
        <w:pStyle w:val="BodyText"/>
        <w:spacing w:before="31"/>
      </w:pPr>
      <w:r>
        <w:rPr/>
        <w:t>（二）领会：微观经济学主要内容之间的联系。</w:t>
      </w:r>
    </w:p>
    <w:p>
      <w:pPr>
        <w:pStyle w:val="BodyText"/>
        <w:spacing w:line="316" w:lineRule="auto"/>
        <w:ind w:left="101" w:right="276" w:firstLine="638"/>
        <w:jc w:val="both"/>
      </w:pPr>
      <w:r>
        <w:rPr>
          <w:spacing w:val="7"/>
          <w:w w:val="95"/>
        </w:rPr>
        <w:t>（三）</w:t>
      </w:r>
      <w:r>
        <w:rPr>
          <w:spacing w:val="4"/>
          <w:w w:val="95"/>
        </w:rPr>
        <w:t>应用：分析影响需求的因素对需求产生的影响；举 例说明需求规律的特例；分析影响供给的因素；举例说明需求 </w:t>
      </w:r>
      <w:r>
        <w:rPr/>
        <w:t>规律的特例。</w:t>
      </w:r>
    </w:p>
    <w:p>
      <w:pPr>
        <w:pStyle w:val="Heading1"/>
        <w:tabs>
          <w:tab w:pos="2023" w:val="left" w:leader="none"/>
        </w:tabs>
        <w:spacing w:line="406" w:lineRule="exact"/>
      </w:pPr>
      <w:bookmarkStart w:name="第三章  消费者行为理论" w:id="2"/>
      <w:bookmarkEnd w:id="2"/>
      <w:r>
        <w:rPr>
          <w:b w:val="0"/>
        </w:rPr>
      </w:r>
      <w:r>
        <w:rPr/>
        <w:t>第三章</w:t>
        <w:tab/>
        <w:t>消费者行为理论</w:t>
      </w:r>
    </w:p>
    <w:p>
      <w:pPr>
        <w:pStyle w:val="BodyText"/>
        <w:spacing w:line="316" w:lineRule="auto"/>
        <w:ind w:left="101" w:right="276" w:firstLine="638"/>
      </w:pPr>
      <w:r>
        <w:rPr>
          <w:spacing w:val="7"/>
          <w:w w:val="95"/>
        </w:rPr>
        <w:t>（一）</w:t>
      </w:r>
      <w:r>
        <w:rPr>
          <w:spacing w:val="4"/>
          <w:w w:val="95"/>
        </w:rPr>
        <w:t>掌握：总效用；边际效用；消费者均衡；商品的边 </w:t>
      </w:r>
      <w:r>
        <w:rPr>
          <w:spacing w:val="4"/>
        </w:rPr>
        <w:t>际替代率递减规律；无差异曲线；预算约束线。</w:t>
      </w:r>
    </w:p>
    <w:p>
      <w:pPr>
        <w:pStyle w:val="BodyText"/>
        <w:spacing w:line="408" w:lineRule="exact" w:before="0"/>
      </w:pPr>
      <w:r>
        <w:rPr/>
        <w:t>（二）领会：无差异曲线的特征及其图形表示。</w:t>
      </w:r>
    </w:p>
    <w:p>
      <w:pPr>
        <w:pStyle w:val="BodyText"/>
        <w:spacing w:line="316" w:lineRule="auto"/>
        <w:ind w:left="101" w:right="276" w:firstLine="638"/>
      </w:pPr>
      <w:r>
        <w:rPr>
          <w:spacing w:val="7"/>
          <w:w w:val="95"/>
        </w:rPr>
        <w:t>（三）</w:t>
      </w:r>
      <w:r>
        <w:rPr>
          <w:spacing w:val="4"/>
          <w:w w:val="95"/>
        </w:rPr>
        <w:t>应用：利用基数效用论推导消费者对商品的需求曲 </w:t>
      </w:r>
      <w:r>
        <w:rPr>
          <w:spacing w:val="4"/>
        </w:rPr>
        <w:t>线，并说明需求规律。</w:t>
      </w:r>
    </w:p>
    <w:p>
      <w:pPr>
        <w:pStyle w:val="Heading1"/>
        <w:tabs>
          <w:tab w:pos="2023" w:val="left" w:leader="none"/>
        </w:tabs>
        <w:spacing w:line="408" w:lineRule="exact"/>
      </w:pPr>
      <w:bookmarkStart w:name="第六章  市场理论" w:id="3"/>
      <w:bookmarkEnd w:id="3"/>
      <w:r>
        <w:rPr>
          <w:b w:val="0"/>
        </w:rPr>
      </w:r>
      <w:r>
        <w:rPr/>
        <w:t>第六章</w:t>
        <w:tab/>
      </w:r>
      <w:r>
        <w:rPr>
          <w:w w:val="95"/>
        </w:rPr>
        <w:t>市场理论</w:t>
      </w:r>
    </w:p>
    <w:p>
      <w:pPr>
        <w:pStyle w:val="BodyText"/>
      </w:pPr>
      <w:r>
        <w:rPr/>
        <w:t>（一）掌握：完全竞争市场；垄断市场。</w:t>
      </w:r>
    </w:p>
    <w:p>
      <w:pPr>
        <w:pStyle w:val="BodyText"/>
      </w:pPr>
      <w:r>
        <w:rPr/>
        <w:t>（二）领会：垄断竞争市场；寡头竞争市场。</w:t>
      </w:r>
    </w:p>
    <w:p>
      <w:pPr>
        <w:pStyle w:val="Heading1"/>
        <w:tabs>
          <w:tab w:pos="2023" w:val="left" w:leader="none"/>
        </w:tabs>
        <w:spacing w:before="130"/>
      </w:pPr>
      <w:bookmarkStart w:name="第十章  国民收入核算" w:id="4"/>
      <w:bookmarkEnd w:id="4"/>
      <w:r>
        <w:rPr>
          <w:b w:val="0"/>
        </w:rPr>
      </w:r>
      <w:r>
        <w:rPr/>
        <w:t>第十章</w:t>
        <w:tab/>
        <w:t>国民收入核算</w:t>
      </w:r>
    </w:p>
    <w:p>
      <w:pPr>
        <w:pStyle w:val="BodyText"/>
        <w:spacing w:line="316" w:lineRule="auto"/>
        <w:ind w:left="101" w:right="108" w:firstLine="638"/>
      </w:pPr>
      <w:r>
        <w:rPr/>
        <w:t>（一</w:t>
      </w:r>
      <w:r>
        <w:rPr>
          <w:spacing w:val="-43"/>
        </w:rPr>
        <w:t>）</w:t>
      </w:r>
      <w:r>
        <w:rPr>
          <w:spacing w:val="-11"/>
        </w:rPr>
        <w:t>掌握：国内生产总值</w:t>
      </w:r>
      <w:r>
        <w:rPr>
          <w:spacing w:val="-10"/>
        </w:rPr>
        <w:t>（</w:t>
      </w:r>
      <w:r>
        <w:rPr>
          <w:rFonts w:ascii="Times New Roman" w:eastAsia="Times New Roman"/>
          <w:spacing w:val="-10"/>
        </w:rPr>
        <w:t>GDP</w:t>
      </w:r>
      <w:r>
        <w:rPr>
          <w:spacing w:val="-10"/>
        </w:rPr>
        <w:t>）；</w:t>
      </w:r>
      <w:r>
        <w:rPr>
          <w:rFonts w:ascii="Times New Roman" w:eastAsia="Times New Roman"/>
          <w:spacing w:val="-10"/>
        </w:rPr>
        <w:t>GDP </w:t>
      </w:r>
      <w:r>
        <w:rPr>
          <w:spacing w:val="-2"/>
        </w:rPr>
        <w:t>折算指数；</w:t>
      </w:r>
      <w:r>
        <w:rPr>
          <w:rFonts w:ascii="Times New Roman" w:eastAsia="Times New Roman"/>
          <w:spacing w:val="-9"/>
        </w:rPr>
        <w:t>CPI</w:t>
      </w:r>
      <w:r>
        <w:rPr>
          <w:spacing w:val="-9"/>
        </w:rPr>
        <w:t>； </w:t>
      </w:r>
      <w:r>
        <w:rPr/>
        <w:t>名义变量和实际变量。</w:t>
      </w:r>
    </w:p>
    <w:p>
      <w:pPr>
        <w:pStyle w:val="BodyText"/>
        <w:spacing w:line="408" w:lineRule="exact" w:before="0"/>
      </w:pPr>
      <w:r>
        <w:rPr/>
        <w:t>（二）领会：国民收入核算的支出方法和收入方法。</w:t>
      </w:r>
    </w:p>
    <w:p>
      <w:pPr>
        <w:pStyle w:val="BodyText"/>
        <w:spacing w:line="316" w:lineRule="auto"/>
        <w:ind w:left="101" w:right="276" w:firstLine="638"/>
        <w:jc w:val="both"/>
      </w:pPr>
      <w:r>
        <w:rPr>
          <w:spacing w:val="7"/>
          <w:w w:val="95"/>
        </w:rPr>
        <w:t>（三）</w:t>
      </w:r>
      <w:r>
        <w:rPr>
          <w:spacing w:val="4"/>
          <w:w w:val="95"/>
        </w:rPr>
        <w:t>应用：国民收入核算恒等式与均衡条件之间的联系 和区别；投资与储蓄相等是两部门经济国民收入决定的基本均 </w:t>
      </w:r>
      <w:r>
        <w:rPr/>
        <w:t>衡条件。</w:t>
      </w:r>
    </w:p>
    <w:p>
      <w:pPr>
        <w:pStyle w:val="Heading1"/>
        <w:tabs>
          <w:tab w:pos="2345" w:val="left" w:leader="none"/>
        </w:tabs>
        <w:spacing w:line="406" w:lineRule="exact"/>
      </w:pPr>
      <w:bookmarkStart w:name="第十二章  产品市场与货币市场的一般均衡" w:id="5"/>
      <w:bookmarkEnd w:id="5"/>
      <w:r>
        <w:rPr>
          <w:b w:val="0"/>
        </w:rPr>
      </w:r>
      <w:r>
        <w:rPr/>
        <w:t>第十二章</w:t>
        <w:tab/>
        <w:t>产品市场与货币市场的一般均衡</w:t>
      </w:r>
    </w:p>
    <w:p>
      <w:pPr>
        <w:pStyle w:val="BodyText"/>
      </w:pPr>
      <w:r>
        <w:rPr/>
        <w:t>（一）掌握：</w:t>
      </w:r>
      <w:r>
        <w:rPr>
          <w:rFonts w:ascii="Times New Roman" w:eastAsia="Times New Roman"/>
        </w:rPr>
        <w:t>IS-LM </w:t>
      </w:r>
      <w:r>
        <w:rPr/>
        <w:t>模型。</w:t>
      </w:r>
    </w:p>
    <w:p>
      <w:pPr>
        <w:pStyle w:val="BodyText"/>
      </w:pPr>
      <w:r>
        <w:rPr/>
        <w:t>（二）领会：</w:t>
      </w:r>
      <w:r>
        <w:rPr>
          <w:rFonts w:ascii="Times New Roman" w:eastAsia="Times New Roman"/>
        </w:rPr>
        <w:t>IS </w:t>
      </w:r>
      <w:r>
        <w:rPr/>
        <w:t>曲线的推导及其特征。</w:t>
      </w:r>
    </w:p>
    <w:p>
      <w:pPr>
        <w:pStyle w:val="BodyText"/>
      </w:pPr>
      <w:r>
        <w:rPr/>
        <w:t>（三）应用：</w:t>
      </w:r>
      <w:r>
        <w:rPr>
          <w:rFonts w:ascii="Times New Roman" w:eastAsia="Times New Roman"/>
        </w:rPr>
        <w:t>IS-LM </w:t>
      </w:r>
      <w:r>
        <w:rPr/>
        <w:t>模型对现实经济的解释。</w:t>
      </w:r>
    </w:p>
    <w:p>
      <w:pPr>
        <w:spacing w:after="0"/>
        <w:sectPr>
          <w:pgSz w:w="11910" w:h="16840"/>
          <w:pgMar w:top="1480" w:bottom="280" w:left="1600" w:right="1140"/>
        </w:sectPr>
      </w:pPr>
    </w:p>
    <w:p>
      <w:pPr>
        <w:pStyle w:val="Heading1"/>
        <w:tabs>
          <w:tab w:pos="2345" w:val="left" w:leader="none"/>
        </w:tabs>
        <w:spacing w:before="31"/>
      </w:pPr>
      <w:bookmarkStart w:name="第十三章  宏观经济政策" w:id="6"/>
      <w:bookmarkEnd w:id="6"/>
      <w:r>
        <w:rPr>
          <w:b w:val="0"/>
        </w:rPr>
      </w:r>
      <w:r>
        <w:rPr/>
        <w:t>第十三章</w:t>
        <w:tab/>
        <w:t>宏观经济政策</w:t>
      </w:r>
    </w:p>
    <w:p>
      <w:pPr>
        <w:pStyle w:val="BodyText"/>
      </w:pPr>
      <w:r>
        <w:rPr/>
        <w:t>（一）掌握：宏观经济政策的四大目标。</w:t>
      </w:r>
    </w:p>
    <w:p>
      <w:pPr>
        <w:pStyle w:val="BodyText"/>
      </w:pPr>
      <w:r>
        <w:rPr/>
        <w:t>（二）领会：各种经济政策目标。</w:t>
      </w:r>
    </w:p>
    <w:p>
      <w:pPr>
        <w:pStyle w:val="BodyText"/>
        <w:spacing w:line="316" w:lineRule="auto"/>
        <w:ind w:left="101" w:right="276" w:firstLine="638"/>
      </w:pPr>
      <w:r>
        <w:rPr>
          <w:spacing w:val="7"/>
          <w:w w:val="95"/>
        </w:rPr>
        <w:t>（三）</w:t>
      </w:r>
      <w:r>
        <w:rPr>
          <w:spacing w:val="4"/>
          <w:w w:val="95"/>
        </w:rPr>
        <w:t>应用：宏观经济政策的理论基础及其财政政策和货 </w:t>
      </w:r>
      <w:r>
        <w:rPr>
          <w:spacing w:val="4"/>
        </w:rPr>
        <w:t>币政策的有效性。</w:t>
      </w:r>
    </w:p>
    <w:p>
      <w:pPr>
        <w:pStyle w:val="Heading1"/>
        <w:tabs>
          <w:tab w:pos="2345" w:val="left" w:leader="none"/>
        </w:tabs>
        <w:spacing w:line="408" w:lineRule="exact"/>
      </w:pPr>
      <w:bookmarkStart w:name="第十五章  通货膨胀理论" w:id="7"/>
      <w:bookmarkEnd w:id="7"/>
      <w:r>
        <w:rPr>
          <w:b w:val="0"/>
        </w:rPr>
      </w:r>
      <w:r>
        <w:rPr/>
        <w:t>第十五章</w:t>
        <w:tab/>
        <w:t>通货膨胀理论</w:t>
      </w:r>
    </w:p>
    <w:p>
      <w:pPr>
        <w:pStyle w:val="BodyText"/>
      </w:pPr>
      <w:r>
        <w:rPr/>
        <w:t>（一）掌握：通货膨胀概念和类型。</w:t>
      </w:r>
    </w:p>
    <w:p>
      <w:pPr>
        <w:pStyle w:val="BodyText"/>
      </w:pPr>
      <w:r>
        <w:rPr/>
        <w:t>（二）领会：通货膨胀的成因和影响；菲利普斯曲线。</w:t>
      </w:r>
    </w:p>
    <w:p>
      <w:pPr>
        <w:pStyle w:val="BodyText"/>
      </w:pPr>
      <w:r>
        <w:rPr/>
        <w:t>（三）应用：通货膨胀的利与弊。</w:t>
      </w:r>
    </w:p>
    <w:p>
      <w:pPr>
        <w:pStyle w:val="Heading1"/>
        <w:spacing w:before="130"/>
        <w:rPr>
          <w:b w:val="0"/>
        </w:rPr>
      </w:pPr>
      <w:r>
        <w:rPr/>
        <w:t>注：对考核要求的说明</w:t>
      </w:r>
      <w:r>
        <w:rPr>
          <w:b w:val="0"/>
        </w:rPr>
        <w:t>：</w:t>
      </w:r>
    </w:p>
    <w:p>
      <w:pPr>
        <w:pStyle w:val="BodyText"/>
      </w:pPr>
      <w:r>
        <w:rPr/>
        <w:t>（一）掌握是指回忆学过的知识材料的能力。</w:t>
      </w:r>
    </w:p>
    <w:p>
      <w:pPr>
        <w:pStyle w:val="BodyText"/>
        <w:spacing w:line="316" w:lineRule="auto"/>
        <w:ind w:left="101" w:right="276" w:firstLine="638"/>
      </w:pPr>
      <w:r>
        <w:rPr>
          <w:spacing w:val="7"/>
          <w:w w:val="95"/>
        </w:rPr>
        <w:t>（二）</w:t>
      </w:r>
      <w:r>
        <w:rPr>
          <w:spacing w:val="4"/>
          <w:w w:val="95"/>
        </w:rPr>
        <w:t>领会是指把握知识材料所包含的意义，并将它们内 </w:t>
      </w:r>
      <w:r>
        <w:rPr>
          <w:spacing w:val="4"/>
        </w:rPr>
        <w:t>在化和系统化的能力。</w:t>
      </w:r>
    </w:p>
    <w:p>
      <w:pPr>
        <w:pStyle w:val="BodyText"/>
        <w:spacing w:line="316" w:lineRule="auto" w:before="0"/>
        <w:ind w:left="101" w:right="276" w:firstLine="638"/>
      </w:pPr>
      <w:r>
        <w:rPr>
          <w:spacing w:val="7"/>
          <w:w w:val="95"/>
        </w:rPr>
        <w:t>（三）</w:t>
      </w:r>
      <w:r>
        <w:rPr>
          <w:spacing w:val="4"/>
          <w:w w:val="95"/>
        </w:rPr>
        <w:t>运用是指把抽象的概念、原理、方法和理论应用于 </w:t>
      </w:r>
      <w:r>
        <w:rPr>
          <w:spacing w:val="4"/>
        </w:rPr>
        <w:t>新的特定情境的能力。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六、参考教材</w:t>
      </w:r>
    </w:p>
    <w:p>
      <w:pPr>
        <w:pStyle w:val="BodyText"/>
        <w:spacing w:line="316" w:lineRule="auto" w:before="127"/>
        <w:ind w:left="101" w:right="278" w:firstLine="638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《经济学基础》（第 </w:t>
      </w:r>
      <w:r>
        <w:rPr>
          <w:rFonts w:ascii="Times New Roman" w:eastAsia="Times New Roman"/>
        </w:rPr>
        <w:t>2 </w:t>
      </w:r>
      <w:r>
        <w:rPr>
          <w:rFonts w:ascii="仿宋_GB2312" w:eastAsia="仿宋_GB2312" w:hint="eastAsia"/>
        </w:rPr>
        <w:t>版），高鸿业，中国人民大学出版社，</w:t>
      </w:r>
      <w:r>
        <w:rPr>
          <w:rFonts w:ascii="Times New Roman" w:eastAsia="Times New Roman"/>
        </w:rPr>
        <w:t>ISBN</w:t>
      </w:r>
      <w:r>
        <w:rPr>
          <w:rFonts w:ascii="仿宋_GB2312" w:eastAsia="仿宋_GB2312" w:hint="eastAsia"/>
        </w:rPr>
        <w:t>：</w:t>
      </w:r>
      <w:r>
        <w:rPr>
          <w:rFonts w:ascii="Times New Roman" w:eastAsia="Times New Roman"/>
        </w:rPr>
        <w:t>9787300274553</w:t>
      </w:r>
      <w:r>
        <w:rPr>
          <w:rFonts w:ascii="仿宋_GB2312" w:eastAsia="仿宋_GB2312" w:hint="eastAsia"/>
        </w:rPr>
        <w:t>。</w:t>
      </w:r>
    </w:p>
    <w:sectPr>
      <w:pgSz w:w="11910" w:h="16840"/>
      <w:pgMar w:top="1480" w:bottom="28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楷体_GB2312">
    <w:altName w:val="楷体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_GB2312" w:hAnsi="楷体_GB2312" w:eastAsia="楷体_GB2312" w:cs="楷体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楷体_GB2312" w:hAnsi="楷体_GB2312" w:eastAsia="楷体_GB2312" w:cs="楷体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740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2020-06-23T10:58:29Z</dcterms:created>
  <dcterms:modified xsi:type="dcterms:W3CDTF">2020-06-23T10:58:29Z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